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Default"/>
        <w:jc w:val="both"/>
        <w:rPr>
          <w:rFonts w:ascii="Tw Cen MT" w:hAnsi="Tw Cen MT"/>
          <w:color w:val="auto"/>
          <w:sz w:val="24"/>
          <w:szCs w:val="24"/>
          <w:lang w:bidi="ar_SA" w:eastAsia="en_US" w:val="fr_FR"/>
        </w:rPr>
      </w:pP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 </w:t>
      </w:r>
      <w:r>
        <w:rPr>
          <w:rFonts w:ascii="Tw Cen MT" w:hAnsi="Tw Cen MT"/>
          <w:color w:val="auto"/>
        </w:rPr>
        <w:t xml:space="preserve">Paris, le </w:t>
      </w:r>
      <w:r>
        <w:rPr>
          <w:rFonts w:ascii="Tw Cen MT" w:hAnsi="Tw Cen MT"/>
          <w:color w:val="auto"/>
          <w:highlight w:val="yellow"/>
        </w:rPr>
        <w:t>XX</w:t>
      </w:r>
      <w:r>
        <w:rPr>
          <w:rFonts w:ascii="Tw Cen MT" w:hAnsi="Tw Cen MT"/>
          <w:color w:val="auto"/>
        </w:rPr>
        <w:t xml:space="preserve"> mars 2019</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r>
        <w:drawing>
          <wp:inline xmlns:a="http://schemas.openxmlformats.org/drawingml/2006/main">
            <wp:extent xmlns:c="http://schemas.openxmlformats.org/drawingml/2006/chart" xmlns:pic="http://schemas.openxmlformats.org/drawingml/2006/picture" xmlns:dgm="http://schemas.openxmlformats.org/drawingml/2006/diagram" xmlns:p="http://schemas.openxmlformats.org/presentationml/2006/main" cx="963295" cy="1018540"/>
            <wp:docPr xmlns:c="http://schemas.openxmlformats.org/drawingml/2006/chart" xmlns:pic="http://schemas.openxmlformats.org/drawingml/2006/picture" xmlns:dgm="http://schemas.openxmlformats.org/drawingml/2006/diagram" xmlns:p="http://schemas.openxmlformats.org/presentationml/2006/main" id="0" name=""/>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
                    <pic:cNvPicPr/>
                  </pic:nvPicPr>
                  <pic:blipFill>
                    <a:blip r:embed="rId1"/>
                    <a:stretch>
                      <a:fillRect/>
                    </a:stretch>
                  </pic:blipFill>
                  <pic:spPr>
                    <a:xfrm>
                      <a:off x="0" y="0"/>
                      <a:ext cx="963295" cy="1018540"/>
                    </a:xfrm>
                    <a:prstGeom prst="rect"/>
                  </pic:spPr>
                </pic:pic>
              </a:graphicData>
            </a:graphic>
          </wp:inline>
        </w:drawing>
      </w:r>
    </w:p>
    <w:p>
      <w:pPr>
        <w:pStyle w:val="Default"/>
        <w:jc w:val="both"/>
        <w:rPr>
          <w:rFonts w:ascii="Tw Cen MT" w:hAnsi="Tw Cen MT"/>
          <w:color w:val="auto"/>
          <w:sz w:val="24"/>
          <w:szCs w:val="28"/>
          <w:lang w:bidi="ar_SA" w:eastAsia="en_US" w:val="fr_FR"/>
        </w:rPr>
      </w:pPr>
      <w:r>
        <w:rPr>
          <w:rFonts w:ascii="Tw Cen MT" w:hAnsi="Tw Cen MT"/>
          <w:color w:val="auto"/>
          <w:szCs w:val="28"/>
        </w:rPr>
        <w:t xml:space="preserve">A l’attention </w:t>
      </w:r>
      <w:r>
        <w:rPr>
          <w:rFonts w:ascii="Tw Cen MT" w:hAnsi="Tw Cen MT"/>
          <w:color w:val="auto"/>
          <w:szCs w:val="28"/>
        </w:rPr>
        <w:t>des sénateurs et sénatrices parisiens</w:t>
      </w:r>
    </w:p>
    <w:p>
      <w:pPr>
        <w:pStyle w:val="Default"/>
        <w:jc w:val="both"/>
        <w:rPr>
          <w:rFonts w:ascii="Tw Cen MT" w:hAnsi="Tw Cen MT"/>
          <w:color w:val="auto"/>
          <w:sz w:val="28"/>
          <w:szCs w:val="28"/>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b w:val="1"/>
          <w:bCs w:val="1"/>
          <w:color w:val="auto"/>
          <w:sz w:val="24"/>
          <w:szCs w:val="24"/>
          <w:lang w:bidi="ar_SA" w:eastAsia="en_US" w:val="fr_FR"/>
        </w:rPr>
      </w:pPr>
      <w:r>
        <w:rPr>
          <w:rFonts w:ascii="Tw Cen MT" w:hAnsi="Tw Cen MT"/>
          <w:b w:val="1"/>
          <w:bCs w:val="1"/>
          <w:color w:val="auto"/>
        </w:rPr>
        <w:t>Objet : Loi Ecole de la confiance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w:t>
      </w:r>
      <w:r>
        <w:rPr>
          <w:rFonts w:ascii="Tw Cen MT" w:hAnsi="Tw Cen MT"/>
          <w:color w:val="auto"/>
        </w:rPr>
        <w:t>Sénatrice, Monsieur le Sénateur</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Nous nous permettons de vous écrire à propos </w:t>
      </w:r>
      <w:r>
        <w:rPr>
          <w:rFonts w:ascii="Tw Cen MT" w:hAnsi="Tw Cen MT"/>
          <w:color w:val="auto"/>
        </w:rPr>
        <w:t>du projet de</w:t>
      </w:r>
      <w:r>
        <w:rPr>
          <w:rFonts w:ascii="Tw Cen MT" w:hAnsi="Tw Cen MT"/>
          <w:color w:val="auto"/>
        </w:rPr>
        <w:t xml:space="preserve"> loi Ecole de la confiance qui </w:t>
      </w:r>
      <w:r>
        <w:rPr>
          <w:rFonts w:ascii="Tw Cen MT" w:hAnsi="Tw Cen MT"/>
          <w:color w:val="auto"/>
        </w:rPr>
        <w:t>vient d’être transmise au Sénat.</w:t>
      </w:r>
    </w:p>
    <w:p>
      <w:pPr>
        <w:pStyle w:val="Default"/>
        <w:jc w:val="both"/>
        <w:rPr>
          <w:rFonts w:ascii="Tw Cen MT" w:hAnsi="Tw Cen MT"/>
          <w:color w:val="auto"/>
          <w:sz w:val="24"/>
          <w:szCs w:val="24"/>
          <w:lang w:bidi="ar_SA" w:eastAsia="en_US" w:val="fr_FR"/>
        </w:rPr>
      </w:pPr>
      <w:r>
        <w:rPr>
          <w:rFonts w:ascii="Tw Cen MT" w:hAnsi="Tw Cen MT"/>
          <w:color w:val="auto"/>
        </w:rPr>
        <w:t>Adoptée le 19 février dernier en première lecture devant l’Assemblée Nationale, le projet de loi pour une école</w:t>
      </w:r>
      <w:r>
        <w:rPr>
          <w:rFonts w:ascii="Tw Cen MT" w:hAnsi="Tw Cen MT"/>
          <w:color w:val="auto"/>
        </w:rPr>
        <w:t xml:space="preserve"> </w:t>
      </w:r>
      <w:r>
        <w:rPr>
          <w:rFonts w:ascii="Tw Cen MT" w:hAnsi="Tw Cen MT"/>
          <w:color w:val="auto"/>
        </w:rPr>
        <w:t xml:space="preserve">de la confiance a été transmis pour examen en avril au Sénat. Il comporte un certain nombre de facettes que </w:t>
      </w:r>
      <w:r>
        <w:rPr>
          <w:rFonts w:ascii="Tw Cen MT" w:hAnsi="Tw Cen MT"/>
          <w:color w:val="auto"/>
        </w:rPr>
        <w:t>nous estimons inquiétantes pour l’avenir de l’école</w:t>
      </w:r>
      <w:r>
        <w:rPr>
          <w:rFonts w:ascii="Tw Cen MT" w:hAnsi="Tw Cen MT"/>
          <w:color w:val="auto"/>
        </w:rPr>
        <w:t xml:space="preserve"> :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L’encadrement de la liberté d’expression des enseignants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Une instruction obligatoire dès 3 ans qui n’apporte rien de nouveau (pour les territoires les plus concernés, les moyens ne sont pas à la hauteur des besoins) mais qui permet de mobiliser des financements publics dans les villes pour les écoles maternelles privées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nouvelles formes d’organisation des établissements publics mettent en danger la mixité sociale et permettent d’organiser le tri social (établissement des savoirs fondamentaux, établissement d’enseignement international). Concrètement le droit à l’éducation ne sera pas le même pour tous. La place de la communauté éducative est réduite au maximum.</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suppression du CNESCO et son remplacement par le CEE qui ne sera pas indépendant questionnent sur la réalité de l’approche évaluative. Son recentrage sur l’évaluation des établissements montre une volonté de « rendre scientifique » la concurrence entre les établissements. Cette nouvelle structure n’aura pas objet d’évaluer le système scolaire, le service public de l’éducation ou encore la politique d’éducation….</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L’école inclusive est </w:t>
      </w:r>
      <w:r>
        <w:rPr>
          <w:rFonts w:ascii="Tw Cen MT" w:hAnsi="Tw Cen MT"/>
          <w:color w:val="auto"/>
        </w:rPr>
        <w:t>traité</w:t>
      </w:r>
      <w:r>
        <w:rPr>
          <w:rFonts w:ascii="Tw Cen MT" w:hAnsi="Tw Cen MT"/>
          <w:color w:val="auto"/>
        </w:rPr>
        <w:t xml:space="preserve"> au rabais en maintenant la précarité des professionnels, sans réel moyen</w:t>
      </w:r>
      <w:r>
        <w:rPr>
          <w:rFonts w:ascii="Tw Cen MT" w:hAnsi="Tw Cen MT"/>
          <w:color w:val="auto"/>
        </w:rPr>
        <w:t xml:space="preserve"> (le dispositif PIAL n’apportant pas de réponse sur la question de l’accueil à l’école…).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La formation des enseignants est sous le contrôle entier du Ministre.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mobilisation des AED pour assurer des cours laisse perplexe comme remède au manque d’enseignants. Il n’est pas fait mention de l’intérêt pédagogique. Il s’agit une fois de plus d’une approche gestionnaire.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différentes instances permettant à la communauté éducative de partager, interpeller, de proposer au Ministre sont remises en cause.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spacing w:after="0" w:line="240" w:lineRule="auto"/>
        <w:jc w:val="both"/>
        <w:rPr>
          <w:rFonts w:ascii="Tw Cen MT" w:hAnsi="Tw Cen MT"/>
          <w:sz w:val="24"/>
          <w:szCs w:val="24"/>
          <w:lang w:bidi="ar_SA" w:eastAsia="en_US" w:val="fr_FR"/>
        </w:rPr>
      </w:pPr>
      <w:r>
        <w:rPr>
          <w:rFonts w:ascii="Tw Cen MT" w:hAnsi="Tw Cen MT"/>
          <w:sz w:val="24"/>
          <w:szCs w:val="24"/>
        </w:rPr>
        <w:t>La confiance, pour le</w:t>
      </w:r>
      <w:r>
        <w:rPr>
          <w:rFonts w:ascii="Tw Cen MT" w:hAnsi="Tw Cen MT"/>
          <w:vanish w:val="0"/>
          <w:color w:val="000000"/>
          <w:sz w:val="24"/>
          <w:szCs w:val="24"/>
          <w:rtl w:val="0"/>
          <w:lang w:val="fr-FR"/>
        </w:rPr>
        <w:t xml:space="preserve"> m</w:t>
      </w:r>
      <w:r>
        <w:rPr>
          <w:rFonts w:ascii="Tw Cen MT" w:hAnsi="Tw Cen MT"/>
          <w:sz w:val="24"/>
          <w:szCs w:val="24"/>
        </w:rPr>
        <w:t>nistre Blanquer, c'est l'obéissance. Celles des élèves, comme celles des</w:t>
      </w:r>
      <w:r>
        <w:rPr>
          <w:rFonts w:ascii="Tw Cen MT" w:hAnsi="Tw Cen MT"/>
          <w:sz w:val="24"/>
          <w:szCs w:val="24"/>
        </w:rPr>
        <w:t xml:space="preserve"> </w:t>
      </w:r>
      <w:r>
        <w:rPr>
          <w:rFonts w:ascii="Tw Cen MT" w:hAnsi="Tw Cen MT"/>
          <w:sz w:val="24"/>
          <w:szCs w:val="24"/>
        </w:rPr>
        <w:t>enseignants à qui le ministre vient d’imposer</w:t>
      </w:r>
      <w:r>
        <w:rPr>
          <w:rFonts w:ascii="Tw Cen MT" w:hAnsi="Tw Cen MT"/>
          <w:sz w:val="24"/>
          <w:szCs w:val="24"/>
        </w:rPr>
        <w:t xml:space="preserve"> </w:t>
      </w:r>
      <w:r>
        <w:rPr>
          <w:rFonts w:ascii="Tw Cen MT" w:hAnsi="Tw Cen MT"/>
          <w:sz w:val="24"/>
          <w:szCs w:val="24"/>
        </w:rPr>
        <w:t>un devoir de réserve considéré par le monde enseignant comme liberticide. Dans ce projet de loi, les moindres aspects</w:t>
      </w:r>
      <w:r>
        <w:rPr>
          <w:rFonts w:ascii="Tw Cen MT" w:hAnsi="Tw Cen MT"/>
          <w:sz w:val="24"/>
          <w:szCs w:val="24"/>
        </w:rPr>
        <w:t xml:space="preserve"> </w:t>
      </w:r>
      <w:r>
        <w:rPr>
          <w:rFonts w:ascii="Tw Cen MT" w:hAnsi="Tw Cen MT"/>
          <w:sz w:val="24"/>
          <w:szCs w:val="24"/>
        </w:rPr>
        <w:t>gestionnaires passent avant tous les aspects pédagogiques, grands absents de cette nouvelle copie législative qui, in</w:t>
      </w:r>
      <w:r>
        <w:rPr>
          <w:rFonts w:ascii="Tw Cen MT" w:hAnsi="Tw Cen MT"/>
          <w:sz w:val="24"/>
          <w:szCs w:val="24"/>
        </w:rPr>
        <w:t xml:space="preserve"> </w:t>
      </w:r>
      <w:r>
        <w:rPr>
          <w:rFonts w:ascii="Tw Cen MT" w:hAnsi="Tw Cen MT"/>
          <w:sz w:val="24"/>
          <w:szCs w:val="24"/>
        </w:rPr>
        <w:t>fine, ne résout aucun des problèmes du système éducatif français. Cette loi témoigne en outre d’un fort degré</w:t>
      </w:r>
      <w:r>
        <w:rPr>
          <w:rFonts w:ascii="Tw Cen MT" w:hAnsi="Tw Cen MT"/>
          <w:sz w:val="24"/>
          <w:szCs w:val="24"/>
        </w:rPr>
        <w:t xml:space="preserve"> </w:t>
      </w:r>
      <w:r>
        <w:rPr>
          <w:rFonts w:ascii="Tw Cen MT" w:hAnsi="Tw Cen MT"/>
          <w:sz w:val="24"/>
          <w:szCs w:val="24"/>
        </w:rPr>
        <w:t>d’impréparation : comment expliquer sinon la prolifération et la nature des débats sur nombre d’amendements et</w:t>
      </w:r>
      <w:r>
        <w:rPr>
          <w:rFonts w:ascii="Tw Cen MT" w:hAnsi="Tw Cen MT"/>
          <w:sz w:val="24"/>
          <w:szCs w:val="24"/>
        </w:rPr>
        <w:t xml:space="preserve"> </w:t>
      </w:r>
      <w:r>
        <w:rPr>
          <w:rFonts w:ascii="Tw Cen MT" w:hAnsi="Tw Cen MT"/>
          <w:sz w:val="24"/>
          <w:szCs w:val="24"/>
        </w:rPr>
        <w:t>d’articles ?</w:t>
      </w: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b w:val="1"/>
          <w:bCs w:val="1"/>
          <w:sz w:val="24"/>
          <w:szCs w:val="24"/>
          <w:lang w:bidi="ar_SA" w:eastAsia="en_US" w:val="fr_FR"/>
        </w:rPr>
      </w:pPr>
      <w:r>
        <w:rPr>
          <w:rFonts w:ascii="Tw Cen MT" w:hAnsi="Tw Cen MT"/>
          <w:sz w:val="24"/>
          <w:szCs w:val="24"/>
        </w:rPr>
        <w:t>Aussi nous</w:t>
      </w:r>
      <w:r>
        <w:rPr>
          <w:rFonts w:ascii="Tw Cen MT" w:hAnsi="Tw Cen MT"/>
          <w:b w:val="1"/>
          <w:bCs w:val="1"/>
          <w:sz w:val="24"/>
          <w:szCs w:val="24"/>
        </w:rPr>
        <w:t xml:space="preserve"> vous demandons de ne pas voter </w:t>
      </w:r>
      <w:r>
        <w:rPr>
          <w:rFonts w:ascii="Tw Cen MT" w:hAnsi="Tw Cen MT"/>
          <w:b w:val="1"/>
          <w:bCs w:val="1"/>
          <w:sz w:val="24"/>
          <w:szCs w:val="24"/>
        </w:rPr>
        <w:t>ce</w:t>
      </w:r>
      <w:r>
        <w:rPr>
          <w:rFonts w:ascii="Tw Cen MT" w:hAnsi="Tw Cen MT"/>
          <w:b w:val="1"/>
          <w:bCs w:val="1"/>
          <w:sz w:val="24"/>
          <w:szCs w:val="24"/>
        </w:rPr>
        <w:t xml:space="preserve">tte </w:t>
      </w:r>
      <w:r>
        <w:rPr>
          <w:rFonts w:ascii="Tw Cen MT" w:hAnsi="Tw Cen MT"/>
          <w:b w:val="1"/>
          <w:bCs w:val="1"/>
          <w:sz w:val="24"/>
          <w:szCs w:val="24"/>
        </w:rPr>
        <w:t>loi</w:t>
      </w:r>
      <w:r>
        <w:rPr>
          <w:rFonts w:ascii="Tw Cen MT" w:hAnsi="Tw Cen MT"/>
          <w:b w:val="1"/>
          <w:bCs w:val="1"/>
          <w:sz w:val="24"/>
          <w:szCs w:val="24"/>
        </w:rPr>
        <w:t xml:space="preserve"> en l’état car elle </w:t>
      </w:r>
      <w:r>
        <w:rPr>
          <w:rFonts w:ascii="Tw Cen MT" w:hAnsi="Tw Cen MT"/>
          <w:b w:val="1"/>
          <w:bCs w:val="1"/>
          <w:sz w:val="24"/>
          <w:szCs w:val="24"/>
        </w:rPr>
        <w:t>méprise déjà et fragilisera les élèves comme l’ensemble de la</w:t>
      </w:r>
      <w:r>
        <w:rPr>
          <w:rFonts w:ascii="Tw Cen MT" w:hAnsi="Tw Cen MT"/>
          <w:b w:val="1"/>
          <w:bCs w:val="1"/>
          <w:sz w:val="24"/>
          <w:szCs w:val="24"/>
        </w:rPr>
        <w:t xml:space="preserve"> </w:t>
      </w:r>
      <w:r>
        <w:rPr>
          <w:rFonts w:ascii="Tw Cen MT" w:hAnsi="Tw Cen MT"/>
          <w:b w:val="1"/>
          <w:bCs w:val="1"/>
          <w:sz w:val="24"/>
          <w:szCs w:val="24"/>
        </w:rPr>
        <w:t>communauté éducative.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Sachant votre engagement pour l’Education et les élèves, veuillez accepter, </w:t>
      </w: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Sénatrice, Monsieur le Sénateur, nos respectueuses salutations. </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Paris, le </w:t>
      </w:r>
      <w:r>
        <w:rPr>
          <w:rFonts w:ascii="Tw Cen MT" w:hAnsi="Tw Cen MT"/>
          <w:color w:val="auto"/>
          <w:highlight w:val="yellow"/>
        </w:rPr>
        <w:t>XXX</w:t>
      </w:r>
      <w:r>
        <w:rPr>
          <w:rFonts w:ascii="Tw Cen MT" w:hAnsi="Tw Cen MT"/>
          <w:color w:val="auto"/>
        </w:rPr>
        <w:t xml:space="preserve"> mars 2019 </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r>
        <w:rPr>
          <w:rFonts w:ascii="Tw Cen MT" w:hAnsi="Tw Cen MT"/>
          <w:sz w:val="24"/>
          <w:szCs w:val="24"/>
        </w:rPr>
        <w:t>L</w:t>
      </w:r>
      <w:r>
        <w:rPr>
          <w:rFonts w:ascii="Tw Cen MT" w:hAnsi="Tw Cen MT"/>
          <w:vanish w:val="0"/>
          <w:color w:val="000000"/>
          <w:sz w:val="24"/>
          <w:szCs w:val="24"/>
          <w:rtl w:val="0"/>
          <w:lang w:val="fr-FR"/>
        </w:rPr>
        <w:t xml:space="preserve">es parents </w:t>
      </w:r>
      <w:r>
        <w:rPr>
          <w:rFonts w:ascii="Tw Cen MT" w:hAnsi="Tw Cen MT"/>
          <w:vanish w:val="0"/>
          <w:color w:val="000000"/>
          <w:sz w:val="24"/>
          <w:szCs w:val="24"/>
          <w:rtl w:val="0"/>
          <w:lang w:val="fr-FR"/>
        </w:rPr>
        <w:t>d’élèves de l’</w:t>
      </w:r>
      <w:r>
        <w:rPr>
          <w:rFonts w:ascii="Tw Cen MT" w:hAnsi="Tw Cen MT"/>
          <w:vanish w:val="0"/>
          <w:color w:val="000000"/>
          <w:sz w:val="24"/>
          <w:szCs w:val="24"/>
          <w:rtl w:val="0"/>
          <w:lang w:val="fr-FR"/>
        </w:rPr>
        <w:t>école ...</w:t>
      </w:r>
    </w:p>
    <w:p>
      <w:pPr>
        <w:jc w:val="both"/>
        <w:rPr>
          <w:rFonts w:ascii="Calibri" w:hAnsi="Calibri"/>
          <w:sz w:val="22"/>
          <w:szCs w:val="22"/>
          <w:lang w:bidi="ar_SA" w:eastAsia="en_US" w:val="fr_FR"/>
        </w:rPr>
      </w:pPr>
    </w:p>
    <w:p>
      <w:pPr>
        <w:spacing w:after="160" w:line="259" w:lineRule="auto"/>
        <w:jc w:val="both"/>
        <w:rPr>
          <w:rFonts w:ascii="Tw Cen MT" w:hAnsi="Tw Cen MT"/>
          <w:i w:val="1"/>
          <w:sz w:val="24"/>
          <w:szCs w:val="24"/>
          <w:lang w:bidi="ar_SA" w:eastAsia="en_US" w:val="fr_FR"/>
        </w:rPr>
      </w:pPr>
      <w:r>
        <w:rPr>
          <w:rFonts w:ascii="Tw Cen MT" w:hAnsi="Tw Cen MT"/>
          <w:i w:val="1"/>
          <w:sz w:val="24"/>
          <w:szCs w:val="24"/>
        </w:rPr>
        <w:br w:type="page"/>
      </w:r>
    </w:p>
    <w:p>
      <w:pPr>
        <w:jc w:val="both"/>
        <w:rPr>
          <w:rFonts w:ascii="Tw Cen MT" w:hAnsi="Tw Cen MT"/>
          <w:i w:val="1"/>
          <w:sz w:val="24"/>
          <w:szCs w:val="24"/>
          <w:lang w:bidi="ar_SA" w:eastAsia="en_US" w:val="fr_FR"/>
        </w:rPr>
      </w:pPr>
      <w:r>
        <w:rPr>
          <w:rFonts w:ascii="Tw Cen MT" w:hAnsi="Tw Cen MT"/>
          <w:i w:val="1"/>
          <w:sz w:val="24"/>
          <w:szCs w:val="24"/>
          <w:highlight w:val="yellow"/>
        </w:rPr>
        <w:t xml:space="preserve">Modèle </w:t>
      </w:r>
      <w:r>
        <w:rPr>
          <w:rFonts w:ascii="Tw Cen MT" w:hAnsi="Tw Cen MT"/>
          <w:i w:val="1"/>
          <w:sz w:val="24"/>
          <w:szCs w:val="24"/>
          <w:highlight w:val="yellow"/>
        </w:rPr>
        <w:t>2:</w:t>
      </w:r>
      <w:r>
        <w:rPr>
          <w:rFonts w:ascii="Tw Cen MT" w:hAnsi="Tw Cen MT"/>
          <w:i w:val="1"/>
          <w:sz w:val="24"/>
          <w:szCs w:val="24"/>
          <w:highlight w:val="yellow"/>
        </w:rPr>
        <w:t xml:space="preserve"> parents délégués</w:t>
      </w:r>
    </w:p>
    <w:p>
      <w:pPr>
        <w:jc w:val="both"/>
        <w:rPr>
          <w:rFonts w:ascii="Tw Cen MT" w:hAnsi="Tw Cen MT"/>
          <w:sz w:val="24"/>
          <w:szCs w:val="24"/>
          <w:lang w:bidi="ar_SA" w:eastAsia="en_US" w:val="fr_FR"/>
        </w:rPr>
      </w:pPr>
      <w:r>
        <w:rPr>
          <w:rFonts w:ascii="Tw Cen MT" w:hAnsi="Tw Cen MT"/>
          <w:sz w:val="24"/>
          <w:szCs w:val="24"/>
          <w:highlight w:val="yellow"/>
        </w:rPr>
        <w:t>Les parents délégués de l’école /collège</w:t>
      </w:r>
      <w:r>
        <w:rPr>
          <w:rFonts w:ascii="Tw Cen MT" w:hAnsi="Tw Cen MT"/>
          <w:sz w:val="24"/>
          <w:szCs w:val="24"/>
        </w:rPr>
        <w:t>/CL</w:t>
      </w:r>
      <w:r>
        <w:rPr>
          <w:rFonts w:ascii="Tw Cen MT" w:hAnsi="Tw Cen MT"/>
        </w:rPr>
        <w:t xml:space="preserve">	</w:t>
      </w:r>
      <w:r>
        <w:rPr>
          <w:rFonts w:ascii="Tw Cen MT" w:hAnsi="Tw Cen MT"/>
        </w:rPr>
        <w:t xml:space="preserve">	</w:t>
      </w:r>
      <w:r>
        <w:rPr>
          <w:rFonts w:ascii="Tw Cen MT" w:hAnsi="Tw Cen MT"/>
        </w:rPr>
        <w:t xml:space="preserve">	</w:t>
      </w:r>
      <w:r>
        <w:rPr>
          <w:rFonts w:ascii="Tw Cen MT" w:hAnsi="Tw Cen MT"/>
        </w:rPr>
        <w:t xml:space="preserve"> </w:t>
      </w:r>
      <w:r>
        <w:rPr>
          <w:rFonts w:ascii="Tw Cen MT" w:hAnsi="Tw Cen MT"/>
        </w:rPr>
        <w:t xml:space="preserve">Paris, le </w:t>
      </w:r>
      <w:r>
        <w:rPr>
          <w:rFonts w:ascii="Tw Cen MT" w:hAnsi="Tw Cen MT"/>
          <w:highlight w:val="yellow"/>
        </w:rPr>
        <w:t>XX</w:t>
      </w:r>
      <w:r>
        <w:rPr>
          <w:rFonts w:ascii="Tw Cen MT" w:hAnsi="Tw Cen MT"/>
        </w:rPr>
        <w:t xml:space="preserve"> mars 2019</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pStyle w:val="Default"/>
        <w:jc w:val="both"/>
        <w:rPr>
          <w:rFonts w:ascii="Tw Cen MT" w:hAnsi="Tw Cen MT"/>
          <w:color w:val="auto"/>
          <w:sz w:val="24"/>
          <w:szCs w:val="28"/>
          <w:lang w:bidi="ar_SA" w:eastAsia="en_US" w:val="fr_FR"/>
        </w:rPr>
      </w:pPr>
      <w:r>
        <w:rPr>
          <w:rFonts w:ascii="Tw Cen MT" w:hAnsi="Tw Cen MT"/>
          <w:color w:val="auto"/>
          <w:szCs w:val="28"/>
        </w:rPr>
        <w:t xml:space="preserve">A l’attention </w:t>
      </w:r>
      <w:r>
        <w:rPr>
          <w:rFonts w:ascii="Tw Cen MT" w:hAnsi="Tw Cen MT"/>
          <w:color w:val="auto"/>
          <w:szCs w:val="28"/>
        </w:rPr>
        <w:t>des sénateurs et sénatrices parisiens</w:t>
      </w:r>
    </w:p>
    <w:p>
      <w:pPr>
        <w:pStyle w:val="Default"/>
        <w:jc w:val="both"/>
        <w:rPr>
          <w:rFonts w:ascii="Tw Cen MT" w:hAnsi="Tw Cen MT"/>
          <w:color w:val="auto"/>
          <w:sz w:val="28"/>
          <w:szCs w:val="28"/>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b w:val="1"/>
          <w:bCs w:val="1"/>
          <w:color w:val="auto"/>
          <w:sz w:val="24"/>
          <w:szCs w:val="24"/>
          <w:lang w:bidi="ar_SA" w:eastAsia="en_US" w:val="fr_FR"/>
        </w:rPr>
      </w:pPr>
      <w:r>
        <w:rPr>
          <w:rFonts w:ascii="Tw Cen MT" w:hAnsi="Tw Cen MT"/>
          <w:b w:val="1"/>
          <w:bCs w:val="1"/>
          <w:color w:val="auto"/>
        </w:rPr>
        <w:t>Objet : Loi Ecole de la confiance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w:t>
      </w:r>
      <w:r>
        <w:rPr>
          <w:rFonts w:ascii="Tw Cen MT" w:hAnsi="Tw Cen MT"/>
          <w:color w:val="auto"/>
        </w:rPr>
        <w:t>Sénatrice, Monsieur le Sénateur</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Nous nous permettons de vous écrire à propos </w:t>
      </w:r>
      <w:r>
        <w:rPr>
          <w:rFonts w:ascii="Tw Cen MT" w:hAnsi="Tw Cen MT"/>
          <w:color w:val="auto"/>
        </w:rPr>
        <w:t>du projet de</w:t>
      </w:r>
      <w:r>
        <w:rPr>
          <w:rFonts w:ascii="Tw Cen MT" w:hAnsi="Tw Cen MT"/>
          <w:color w:val="auto"/>
        </w:rPr>
        <w:t xml:space="preserve"> loi Ecole de la confiance qui </w:t>
      </w:r>
      <w:r>
        <w:rPr>
          <w:rFonts w:ascii="Tw Cen MT" w:hAnsi="Tw Cen MT"/>
          <w:color w:val="auto"/>
        </w:rPr>
        <w:t>vient d’être transmise au Sénat.</w:t>
      </w:r>
    </w:p>
    <w:p>
      <w:pPr>
        <w:pStyle w:val="Default"/>
        <w:jc w:val="both"/>
        <w:rPr>
          <w:rFonts w:ascii="Tw Cen MT" w:hAnsi="Tw Cen MT"/>
          <w:color w:val="auto"/>
          <w:sz w:val="24"/>
          <w:szCs w:val="24"/>
          <w:lang w:bidi="ar_SA" w:eastAsia="en_US" w:val="fr_FR"/>
        </w:rPr>
      </w:pPr>
      <w:r>
        <w:rPr>
          <w:rFonts w:ascii="Tw Cen MT" w:hAnsi="Tw Cen MT"/>
          <w:color w:val="auto"/>
        </w:rPr>
        <w:t>Adoptée le 19 février dernier en première lecture devant l’Assemblée Nationale, le projet de loi pour une école</w:t>
      </w:r>
      <w:r>
        <w:rPr>
          <w:rFonts w:ascii="Tw Cen MT" w:hAnsi="Tw Cen MT"/>
          <w:color w:val="auto"/>
        </w:rPr>
        <w:t xml:space="preserve"> </w:t>
      </w:r>
      <w:r>
        <w:rPr>
          <w:rFonts w:ascii="Tw Cen MT" w:hAnsi="Tw Cen MT"/>
          <w:color w:val="auto"/>
        </w:rPr>
        <w:t xml:space="preserve">de la confiance a été transmis pour examen en avril au Sénat. Il comporte un certain nombre de facettes que </w:t>
      </w:r>
      <w:r>
        <w:rPr>
          <w:rFonts w:ascii="Tw Cen MT" w:hAnsi="Tw Cen MT"/>
          <w:color w:val="auto"/>
        </w:rPr>
        <w:t xml:space="preserve">nous estimons inquiétantes pour l’avenir de l’école :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L’encadrement de la liberté d’expression des enseignants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Une instruction obligatoire dès 3 ans qui n’apporte rien de nouveau (pour les territoires les plus concernés, les moyens ne sont pas à la hauteur des besoins) mais qui permet de mobiliser des financements publics dans les villes pour les écoles maternelles privées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nouvelles formes d’organisation des établissements publics mettent en danger la mixité sociale et permettent d’organiser le tri social (établissement des savoirs fondamentaux, établissement d’enseignement international). Concrètement le droit à l’éducation ne sera pas le même pour tous. La place de la communauté éducative est réduite au maximum.</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suppression du CNESCO et son remplacement par le CEE qui ne sera pas indépendant questionnent sur la réalité de l’approche évaluative. Son recentrage sur l’évaluation des établissements montre une volonté de « rendre scientifique » la concurrence entre les établissements. Cette nouvelle structure n’aura pas objet d’évaluer le système scolaire, le service public de l’éducation ou encore la politique d’éducation….</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L’école inclusive est </w:t>
      </w:r>
      <w:r>
        <w:rPr>
          <w:rFonts w:ascii="Tw Cen MT" w:hAnsi="Tw Cen MT"/>
          <w:color w:val="auto"/>
        </w:rPr>
        <w:t>traité</w:t>
      </w:r>
      <w:r>
        <w:rPr>
          <w:rFonts w:ascii="Tw Cen MT" w:hAnsi="Tw Cen MT"/>
          <w:color w:val="auto"/>
        </w:rPr>
        <w:t xml:space="preserve"> au rabais en maintenant la précarité des professionnels, sans réel moyen (le dispositif PIAL n’apportant pas de réponse sur la question de l’accueil à l’école…).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La formation des enseignants est sous le contrôle entier du Ministre.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mobilisation des AED pour assurer des cours laisse perplexe comme remède au manque d’enseignants. Il n’est pas fait mention de l’intérêt pédagogique. Il s’agit une fois de plus d’une approche gestionnaire.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différentes instances permettant à la communauté éducative de partager, interpeller, de proposer au Ministre sont remises en cause.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spacing w:after="0" w:line="240" w:lineRule="auto"/>
        <w:jc w:val="both"/>
        <w:rPr>
          <w:rFonts w:ascii="Tw Cen MT" w:hAnsi="Tw Cen MT"/>
          <w:sz w:val="24"/>
          <w:szCs w:val="24"/>
          <w:lang w:bidi="ar_SA" w:eastAsia="en_US" w:val="fr_FR"/>
        </w:rPr>
      </w:pPr>
      <w:r>
        <w:rPr>
          <w:rFonts w:ascii="Tw Cen MT" w:hAnsi="Tw Cen MT"/>
          <w:sz w:val="24"/>
          <w:szCs w:val="24"/>
        </w:rPr>
        <w:t>La confiance, pour le ministre Blanquer, c'est l'obéissance. Celles des élèves, comme celles des enseignants à qui le ministre vient d’imposer un devoir de réserve considéré par le monde enseignant comme liberticide. Dans ce projet de loi, les moindres aspects gestionnaires passent avant tous les aspects pédagogiques, grands absents de cette nouvelle copie législative qui, in fine, ne résout aucun des problèmes du système éducatif français. Cette loi témoigne en outre d’un fort degré d’impréparation : comment expliquer sinon la prolifération et la nature des débats sur nombre d’amendements et d’articles ?</w:t>
      </w: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b w:val="1"/>
          <w:bCs w:val="1"/>
          <w:sz w:val="24"/>
          <w:szCs w:val="24"/>
          <w:lang w:bidi="ar_SA" w:eastAsia="en_US" w:val="fr_FR"/>
        </w:rPr>
      </w:pPr>
      <w:r>
        <w:rPr>
          <w:rFonts w:ascii="Tw Cen MT" w:hAnsi="Tw Cen MT"/>
          <w:sz w:val="24"/>
          <w:szCs w:val="24"/>
        </w:rPr>
        <w:t>Aussi nous</w:t>
      </w:r>
      <w:r>
        <w:rPr>
          <w:rFonts w:ascii="Tw Cen MT" w:hAnsi="Tw Cen MT"/>
          <w:b w:val="1"/>
          <w:bCs w:val="1"/>
          <w:sz w:val="24"/>
          <w:szCs w:val="24"/>
        </w:rPr>
        <w:t xml:space="preserve"> vous demandons de ne pas voter cette loi en l’état car elle </w:t>
      </w:r>
      <w:r>
        <w:rPr>
          <w:rFonts w:ascii="Tw Cen MT" w:hAnsi="Tw Cen MT"/>
          <w:b w:val="1"/>
          <w:bCs w:val="1"/>
          <w:sz w:val="24"/>
          <w:szCs w:val="24"/>
        </w:rPr>
        <w:t>méprise déjà et fragilisera les élèves comme l’ensemble de la communauté éducative.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Sachant votre engagement pour l’Education et les élèves, veuillez accepter, </w:t>
      </w: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Sénatrice, Monsieur le Sénateur, nos respectueuses salutations. </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Paris, le </w:t>
      </w:r>
      <w:r>
        <w:rPr>
          <w:rFonts w:ascii="Tw Cen MT" w:hAnsi="Tw Cen MT"/>
          <w:color w:val="auto"/>
          <w:highlight w:val="yellow"/>
        </w:rPr>
        <w:t>XXX</w:t>
      </w:r>
      <w:r>
        <w:rPr>
          <w:rFonts w:ascii="Tw Cen MT" w:hAnsi="Tw Cen MT"/>
          <w:color w:val="auto"/>
        </w:rPr>
        <w:t xml:space="preserve"> mars 2019 </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r>
        <w:rPr>
          <w:rFonts w:ascii="Tw Cen MT" w:hAnsi="Tw Cen MT"/>
          <w:sz w:val="24"/>
          <w:szCs w:val="24"/>
          <w:highlight w:val="yellow"/>
        </w:rPr>
        <w:t>Les parents de l’école/ collège XX</w:t>
      </w:r>
      <w:r>
        <w:rPr>
          <w:rFonts w:ascii="Tw Cen MT" w:hAnsi="Tw Cen MT"/>
          <w:sz w:val="24"/>
          <w:szCs w:val="24"/>
        </w:rPr>
        <w:t xml:space="preserve">/ </w:t>
      </w:r>
      <w:r>
        <w:rPr>
          <w:rFonts w:ascii="Tw Cen MT" w:hAnsi="Tw Cen MT"/>
          <w:sz w:val="24"/>
          <w:szCs w:val="24"/>
          <w:highlight w:val="yellow"/>
        </w:rPr>
        <w:t>conseil local FCPE</w:t>
      </w:r>
    </w:p>
    <w:p>
      <w:pPr>
        <w:jc w:val="both"/>
        <w:rPr>
          <w:rFonts w:ascii="Calibri" w:hAnsi="Calibri"/>
          <w:sz w:val="22"/>
          <w:szCs w:val="22"/>
          <w:lang w:bidi="ar_SA" w:eastAsia="en_US" w:val="fr_FR"/>
        </w:rPr>
      </w:pPr>
    </w:p>
    <w:p>
      <w:pPr>
        <w:spacing w:after="160" w:line="259" w:lineRule="auto"/>
        <w:rPr>
          <w:rFonts w:ascii="Tw Cen MT" w:hAnsi="Tw Cen MT"/>
          <w:i w:val="1"/>
          <w:sz w:val="24"/>
          <w:szCs w:val="24"/>
          <w:lang w:bidi="ar_SA" w:eastAsia="en_US" w:val="fr_FR"/>
        </w:rPr>
      </w:pPr>
      <w:r>
        <w:rPr>
          <w:rFonts w:ascii="Tw Cen MT" w:hAnsi="Tw Cen MT"/>
          <w:i w:val="1"/>
          <w:sz w:val="24"/>
          <w:szCs w:val="24"/>
        </w:rPr>
        <w:br w:type="page"/>
      </w:r>
    </w:p>
    <w:p>
      <w:pPr>
        <w:spacing w:after="160" w:line="259" w:lineRule="auto"/>
        <w:jc w:val="both"/>
        <w:rPr>
          <w:rFonts w:ascii="Tw Cen MT" w:hAnsi="Tw Cen MT"/>
          <w:i w:val="1"/>
          <w:sz w:val="24"/>
          <w:szCs w:val="24"/>
          <w:lang w:bidi="ar_SA" w:eastAsia="en_US" w:val="fr_FR"/>
        </w:rPr>
      </w:pPr>
    </w:p>
    <w:p>
      <w:pPr>
        <w:jc w:val="both"/>
        <w:rPr>
          <w:rFonts w:ascii="Tw Cen MT" w:hAnsi="Tw Cen MT"/>
          <w:i w:val="1"/>
          <w:sz w:val="24"/>
          <w:szCs w:val="24"/>
          <w:lang w:bidi="ar_SA" w:eastAsia="en_US" w:val="fr_FR"/>
        </w:rPr>
      </w:pPr>
      <w:r>
        <w:rPr>
          <w:rFonts w:ascii="Tw Cen MT" w:hAnsi="Tw Cen MT"/>
          <w:i w:val="1"/>
          <w:sz w:val="24"/>
          <w:szCs w:val="24"/>
          <w:highlight w:val="yellow"/>
        </w:rPr>
        <w:t xml:space="preserve">Modèle </w:t>
      </w:r>
      <w:r>
        <w:rPr>
          <w:rFonts w:ascii="Tw Cen MT" w:hAnsi="Tw Cen MT"/>
          <w:i w:val="1"/>
          <w:sz w:val="24"/>
          <w:szCs w:val="24"/>
          <w:highlight w:val="yellow"/>
        </w:rPr>
        <w:t>2:</w:t>
      </w:r>
      <w:r>
        <w:rPr>
          <w:rFonts w:ascii="Tw Cen MT" w:hAnsi="Tw Cen MT"/>
          <w:i w:val="1"/>
          <w:sz w:val="24"/>
          <w:szCs w:val="24"/>
          <w:highlight w:val="yellow"/>
        </w:rPr>
        <w:t xml:space="preserve"> </w:t>
      </w:r>
      <w:r>
        <w:rPr>
          <w:rFonts w:ascii="Tw Cen MT" w:hAnsi="Tw Cen MT"/>
          <w:i w:val="1"/>
          <w:sz w:val="24"/>
          <w:szCs w:val="24"/>
        </w:rPr>
        <w:t>Parents</w:t>
      </w:r>
    </w:p>
    <w:p>
      <w:pPr>
        <w:jc w:val="both"/>
        <w:rPr>
          <w:rFonts w:ascii="Tw Cen MT" w:hAnsi="Tw Cen MT"/>
          <w:sz w:val="24"/>
          <w:szCs w:val="24"/>
          <w:lang w:bidi="ar_SA" w:eastAsia="en_US" w:val="fr_FR"/>
        </w:rPr>
      </w:pPr>
      <w:r>
        <w:rPr>
          <w:rFonts w:ascii="Tw Cen MT" w:hAnsi="Tw Cen MT"/>
          <w:sz w:val="24"/>
          <w:szCs w:val="24"/>
        </w:rPr>
        <w:t xml:space="preserve">Parents </w:t>
      </w:r>
      <w:r>
        <w:rPr>
          <w:rFonts w:ascii="Tw Cen MT" w:hAnsi="Tw Cen MT"/>
          <w:sz w:val="24"/>
          <w:szCs w:val="24"/>
        </w:rPr>
        <w:t xml:space="preserve">	</w:t>
      </w:r>
      <w:r>
        <w:rPr>
          <w:rFonts w:ascii="Tw Cen MT" w:hAnsi="Tw Cen MT"/>
          <w:sz w:val="24"/>
          <w:szCs w:val="24"/>
        </w:rPr>
        <w:t xml:space="preserve">	</w:t>
      </w:r>
      <w:r>
        <w:rPr>
          <w:rFonts w:ascii="Tw Cen MT" w:hAnsi="Tw Cen MT"/>
          <w:sz w:val="24"/>
          <w:szCs w:val="24"/>
        </w:rPr>
        <w:t xml:space="preserve">	</w:t>
      </w:r>
      <w:r>
        <w:rPr>
          <w:rFonts w:ascii="Tw Cen MT" w:hAnsi="Tw Cen MT"/>
          <w:sz w:val="24"/>
          <w:szCs w:val="24"/>
        </w:rPr>
        <w:t xml:space="preserve">	</w:t>
      </w:r>
      <w:r>
        <w:rPr>
          <w:rFonts w:ascii="Tw Cen MT" w:hAnsi="Tw Cen MT"/>
          <w:sz w:val="24"/>
          <w:szCs w:val="24"/>
        </w:rPr>
        <w:t xml:space="preserve">	</w:t>
      </w:r>
      <w:r>
        <w:rPr>
          <w:rFonts w:ascii="Tw Cen MT" w:hAnsi="Tw Cen MT"/>
        </w:rPr>
        <w:t xml:space="preserve">	</w:t>
      </w:r>
      <w:r>
        <w:rPr>
          <w:rFonts w:ascii="Tw Cen MT" w:hAnsi="Tw Cen MT"/>
        </w:rPr>
        <w:t xml:space="preserve">	</w:t>
      </w:r>
      <w:r>
        <w:rPr>
          <w:rFonts w:ascii="Tw Cen MT" w:hAnsi="Tw Cen MT"/>
        </w:rPr>
        <w:t xml:space="preserve"> </w:t>
      </w:r>
      <w:r>
        <w:rPr>
          <w:rFonts w:ascii="Tw Cen MT" w:hAnsi="Tw Cen MT"/>
        </w:rPr>
        <w:t xml:space="preserve">Paris, le </w:t>
      </w:r>
      <w:r>
        <w:rPr>
          <w:rFonts w:ascii="Tw Cen MT" w:hAnsi="Tw Cen MT"/>
          <w:highlight w:val="yellow"/>
        </w:rPr>
        <w:t>XX</w:t>
      </w:r>
      <w:r>
        <w:rPr>
          <w:rFonts w:ascii="Tw Cen MT" w:hAnsi="Tw Cen MT"/>
        </w:rPr>
        <w:t xml:space="preserve"> mars 2019</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pStyle w:val="Default"/>
        <w:jc w:val="both"/>
        <w:rPr>
          <w:rFonts w:ascii="Tw Cen MT" w:hAnsi="Tw Cen MT"/>
          <w:color w:val="auto"/>
          <w:sz w:val="24"/>
          <w:szCs w:val="28"/>
          <w:lang w:bidi="ar_SA" w:eastAsia="en_US" w:val="fr_FR"/>
        </w:rPr>
      </w:pPr>
      <w:r>
        <w:rPr>
          <w:rFonts w:ascii="Tw Cen MT" w:hAnsi="Tw Cen MT"/>
          <w:color w:val="auto"/>
          <w:szCs w:val="28"/>
        </w:rPr>
        <w:t xml:space="preserve">A l’attention </w:t>
      </w:r>
      <w:r>
        <w:rPr>
          <w:rFonts w:ascii="Tw Cen MT" w:hAnsi="Tw Cen MT"/>
          <w:color w:val="auto"/>
          <w:szCs w:val="28"/>
        </w:rPr>
        <w:t>des sénateurs et sénatrices parisiens</w:t>
      </w:r>
    </w:p>
    <w:p>
      <w:pPr>
        <w:pStyle w:val="Default"/>
        <w:jc w:val="both"/>
        <w:rPr>
          <w:rFonts w:ascii="Tw Cen MT" w:hAnsi="Tw Cen MT"/>
          <w:color w:val="auto"/>
          <w:sz w:val="28"/>
          <w:szCs w:val="28"/>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b w:val="1"/>
          <w:bCs w:val="1"/>
          <w:color w:val="auto"/>
          <w:sz w:val="24"/>
          <w:szCs w:val="24"/>
          <w:lang w:bidi="ar_SA" w:eastAsia="en_US" w:val="fr_FR"/>
        </w:rPr>
      </w:pPr>
      <w:r>
        <w:rPr>
          <w:rFonts w:ascii="Tw Cen MT" w:hAnsi="Tw Cen MT"/>
          <w:b w:val="1"/>
          <w:bCs w:val="1"/>
          <w:color w:val="auto"/>
        </w:rPr>
        <w:t>Objet : Loi Ecole de la confiance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w:t>
      </w:r>
      <w:r>
        <w:rPr>
          <w:rFonts w:ascii="Tw Cen MT" w:hAnsi="Tw Cen MT"/>
          <w:color w:val="auto"/>
        </w:rPr>
        <w:t>Sénatrice, Monsieur le Sénateur</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Je me permets </w:t>
      </w:r>
      <w:r>
        <w:rPr>
          <w:rFonts w:ascii="Tw Cen MT" w:hAnsi="Tw Cen MT"/>
          <w:color w:val="auto"/>
        </w:rPr>
        <w:t xml:space="preserve">de </w:t>
      </w:r>
      <w:r>
        <w:rPr>
          <w:rFonts w:ascii="Tw Cen MT" w:hAnsi="Tw Cen MT"/>
          <w:color w:val="auto"/>
        </w:rPr>
        <w:t xml:space="preserve"> vous</w:t>
      </w:r>
      <w:r>
        <w:rPr>
          <w:rFonts w:ascii="Tw Cen MT" w:hAnsi="Tw Cen MT"/>
          <w:color w:val="auto"/>
        </w:rPr>
        <w:t xml:space="preserve"> écrire à propos </w:t>
      </w:r>
      <w:r>
        <w:rPr>
          <w:rFonts w:ascii="Tw Cen MT" w:hAnsi="Tw Cen MT"/>
          <w:color w:val="auto"/>
        </w:rPr>
        <w:t>du projet de</w:t>
      </w:r>
      <w:r>
        <w:rPr>
          <w:rFonts w:ascii="Tw Cen MT" w:hAnsi="Tw Cen MT"/>
          <w:color w:val="auto"/>
        </w:rPr>
        <w:t xml:space="preserve"> loi Ecole de la confiance qui </w:t>
      </w:r>
      <w:r>
        <w:rPr>
          <w:rFonts w:ascii="Tw Cen MT" w:hAnsi="Tw Cen MT"/>
          <w:color w:val="auto"/>
        </w:rPr>
        <w:t>vient d’être transmise au Sénat.</w:t>
      </w:r>
    </w:p>
    <w:p>
      <w:pPr>
        <w:pStyle w:val="Default"/>
        <w:jc w:val="both"/>
        <w:rPr>
          <w:rFonts w:ascii="Tw Cen MT" w:hAnsi="Tw Cen MT"/>
          <w:color w:val="auto"/>
          <w:sz w:val="24"/>
          <w:szCs w:val="24"/>
          <w:lang w:bidi="ar_SA" w:eastAsia="en_US" w:val="fr_FR"/>
        </w:rPr>
      </w:pPr>
      <w:r>
        <w:rPr>
          <w:rFonts w:ascii="Tw Cen MT" w:hAnsi="Tw Cen MT"/>
          <w:color w:val="auto"/>
        </w:rPr>
        <w:t>Adoptée le 19 février dernier en première lecture devant l’Assemblée Nationale, le projet de loi pour une école</w:t>
      </w:r>
      <w:r>
        <w:rPr>
          <w:rFonts w:ascii="Tw Cen MT" w:hAnsi="Tw Cen MT"/>
          <w:color w:val="auto"/>
        </w:rPr>
        <w:t xml:space="preserve"> </w:t>
      </w:r>
      <w:r>
        <w:rPr>
          <w:rFonts w:ascii="Tw Cen MT" w:hAnsi="Tw Cen MT"/>
          <w:color w:val="auto"/>
        </w:rPr>
        <w:t xml:space="preserve">de la confiance a été transmis pour examen en avril au Sénat. Il comporte un certain nombre de facettes que </w:t>
      </w:r>
      <w:r>
        <w:rPr>
          <w:rFonts w:ascii="Tw Cen MT" w:hAnsi="Tw Cen MT"/>
          <w:color w:val="auto"/>
        </w:rPr>
        <w:t>j’estime</w:t>
      </w:r>
      <w:r>
        <w:rPr>
          <w:rFonts w:ascii="Tw Cen MT" w:hAnsi="Tw Cen MT"/>
          <w:color w:val="auto"/>
        </w:rPr>
        <w:t xml:space="preserve"> inquiétante pour l’avenir de l’école</w:t>
      </w:r>
      <w:r>
        <w:rPr>
          <w:rFonts w:ascii="Tw Cen MT" w:hAnsi="Tw Cen MT"/>
          <w:color w:val="auto"/>
        </w:rPr>
        <w:t xml:space="preserve"> et celui de mon enfant </w:t>
      </w:r>
      <w:r>
        <w:rPr>
          <w:rFonts w:ascii="Tw Cen MT" w:hAnsi="Tw Cen MT"/>
          <w:color w:val="auto"/>
        </w:rPr>
        <w:t xml:space="preserve">: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L’encadrement de la liberté d’expression des enseignants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Une instruction obligatoire dès 3 ans qui n’apporte rien de nouveau (pour les territoires les plus concernés, les moyens ne sont pas à la hauteur des besoins) mais qui permet de mobiliser des financements publics dans les villes pour les écoles maternelles privées</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nouvelles formes d’organisation des établissements publics mettent en danger la mixité sociale et permettent d’organiser le tri social (établissement des savoirs fondamentaux, établissement d’enseignement international). Concrètement le droit à l’éducation ne sera pas le même pour tous. La place de la communauté éducative est réduite au maximum.</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suppression du CNESCO et son remplacement par le CEE qui ne sera pas indépendant questionnent sur la réalité de l’approche évaluative. Son recentrage sur l’évaluation des établissements montre une volonté de « rendre scientifique » la concurrence entre les établissements. Cette nouvelle structure n’aura pas objet d’évaluer le système scolaire, le service public de l’éducation ou encore la politique d’éducation….</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L’école inclusive est </w:t>
      </w:r>
      <w:r>
        <w:rPr>
          <w:rFonts w:ascii="Tw Cen MT" w:hAnsi="Tw Cen MT"/>
          <w:color w:val="auto"/>
        </w:rPr>
        <w:t>traité</w:t>
      </w:r>
      <w:r>
        <w:rPr>
          <w:rFonts w:ascii="Tw Cen MT" w:hAnsi="Tw Cen MT"/>
          <w:color w:val="auto"/>
        </w:rPr>
        <w:t xml:space="preserve"> au rabais en maintenant la précarité des professionnels, sans réel moyen (le dispositif PIAL n’apportant pas de réponse sur la question de l’accueil à l’école…).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 xml:space="preserve">La formation des enseignants est sous le contrôle entier du Ministre. </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-La mobilisation des AED pour assurer des cours laisse perplexe comme remède au manque d’enseignants. Il n’est pas fait mention de l’intérêt pédagogique. Il s’agit une fois de plus d’une approche gestionnaire.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Les différentes instances permettant à la communauté éducative de partager, interpeller, de proposer au Ministre sont remises en cause.</w:t>
      </w:r>
    </w:p>
    <w:p>
      <w:pPr>
        <w:pStyle w:val="Default"/>
        <w:numPr>
          <w:ilvl w:val="0"/>
          <w:numId w:val="3"/>
        </w:numPr>
        <w:jc w:val="both"/>
        <w:rPr>
          <w:rFonts w:ascii="Tw Cen MT" w:hAnsi="Tw Cen MT"/>
          <w:color w:val="auto"/>
          <w:sz w:val="24"/>
          <w:szCs w:val="24"/>
          <w:lang w:bidi="ar_SA" w:eastAsia="en_US" w:val="fr_FR"/>
        </w:rPr>
      </w:pPr>
      <w:r>
        <w:rPr>
          <w:rFonts w:ascii="Tw Cen MT" w:hAnsi="Tw Cen MT"/>
          <w:color w:val="auto"/>
        </w:rPr>
        <w:t>…</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spacing w:after="0" w:line="240" w:lineRule="auto"/>
        <w:jc w:val="both"/>
        <w:rPr>
          <w:rFonts w:ascii="Tw Cen MT" w:hAnsi="Tw Cen MT"/>
          <w:sz w:val="24"/>
          <w:szCs w:val="24"/>
          <w:lang w:bidi="ar_SA" w:eastAsia="en_US" w:val="fr_FR"/>
        </w:rPr>
      </w:pPr>
      <w:r>
        <w:rPr>
          <w:rFonts w:ascii="Tw Cen MT" w:hAnsi="Tw Cen MT"/>
          <w:sz w:val="24"/>
          <w:szCs w:val="24"/>
        </w:rPr>
        <w:t>La confiance, pour le ministre Blanquer, c'est l'obéissance. Celles des élèves, comme celles des enseignants à qui le ministre vient d’imposer un devoir de réserve considéré par le monde enseignant comme liberticide. Dans ce projet de loi, les moindres aspects gestionnaires passent avant tous les aspects pédagogiques, grands absents de cette nouvelle copie législative qui, in fine, ne résout aucun des problèmes du système éducatif français. Cette loi témoigne en outre d’un fort degré d’impréparation : comment expliquer sinon la prolifération et la nature des débats sur nombre d’amendements et d’articles ?</w:t>
      </w: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sz w:val="24"/>
          <w:szCs w:val="24"/>
          <w:lang w:bidi="ar_SA" w:eastAsia="en_US" w:val="fr_FR"/>
        </w:rPr>
      </w:pPr>
    </w:p>
    <w:p>
      <w:pPr>
        <w:spacing w:after="0" w:line="240" w:lineRule="auto"/>
        <w:jc w:val="both"/>
        <w:rPr>
          <w:rFonts w:ascii="Tw Cen MT" w:hAnsi="Tw Cen MT"/>
          <w:b w:val="1"/>
          <w:bCs w:val="1"/>
          <w:sz w:val="24"/>
          <w:szCs w:val="24"/>
          <w:lang w:bidi="ar_SA" w:eastAsia="en_US" w:val="fr_FR"/>
        </w:rPr>
      </w:pPr>
      <w:r>
        <w:rPr>
          <w:rFonts w:ascii="Tw Cen MT" w:hAnsi="Tw Cen MT"/>
          <w:sz w:val="24"/>
          <w:szCs w:val="24"/>
        </w:rPr>
        <w:t xml:space="preserve">Aussi </w:t>
      </w:r>
      <w:r>
        <w:rPr>
          <w:rFonts w:ascii="Tw Cen MT" w:hAnsi="Tw Cen MT"/>
          <w:sz w:val="24"/>
          <w:szCs w:val="24"/>
        </w:rPr>
        <w:t>je</w:t>
      </w:r>
      <w:r>
        <w:rPr>
          <w:rFonts w:ascii="Tw Cen MT" w:hAnsi="Tw Cen MT"/>
          <w:b w:val="1"/>
          <w:bCs w:val="1"/>
          <w:sz w:val="24"/>
          <w:szCs w:val="24"/>
        </w:rPr>
        <w:t xml:space="preserve"> vous demand</w:t>
      </w:r>
      <w:r>
        <w:rPr>
          <w:rFonts w:ascii="Tw Cen MT" w:hAnsi="Tw Cen MT"/>
          <w:b w:val="1"/>
          <w:bCs w:val="1"/>
          <w:sz w:val="24"/>
          <w:szCs w:val="24"/>
        </w:rPr>
        <w:t xml:space="preserve">e </w:t>
      </w:r>
      <w:r>
        <w:rPr>
          <w:rFonts w:ascii="Tw Cen MT" w:hAnsi="Tw Cen MT"/>
          <w:b w:val="1"/>
          <w:bCs w:val="1"/>
          <w:sz w:val="24"/>
          <w:szCs w:val="24"/>
        </w:rPr>
        <w:t xml:space="preserve">de ne pas voter cette loi en l’état car elle </w:t>
      </w:r>
      <w:r>
        <w:rPr>
          <w:rFonts w:ascii="Tw Cen MT" w:hAnsi="Tw Cen MT"/>
          <w:b w:val="1"/>
          <w:bCs w:val="1"/>
          <w:sz w:val="24"/>
          <w:szCs w:val="24"/>
        </w:rPr>
        <w:t>méprise déjà et fragilisera les élèves comme l’ensemble de la communauté éducative.</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Sachant votre engagement pour l’Education et les élèves, veuillez accepter, </w:t>
      </w:r>
    </w:p>
    <w:p>
      <w:pPr>
        <w:pStyle w:val="Default"/>
        <w:jc w:val="both"/>
        <w:rPr>
          <w:rFonts w:ascii="Tw Cen MT" w:hAnsi="Tw Cen MT"/>
          <w:color w:val="auto"/>
          <w:sz w:val="24"/>
          <w:szCs w:val="24"/>
          <w:lang w:bidi="ar_SA" w:eastAsia="en_US" w:val="fr_FR"/>
        </w:rPr>
      </w:pPr>
      <w:r>
        <w:rPr>
          <w:rFonts w:ascii="Tw Cen MT" w:hAnsi="Tw Cen MT"/>
          <w:color w:val="auto"/>
        </w:rPr>
        <w:t xml:space="preserve">Madame la Sénatrice, Monsieur le Sénateur, </w:t>
      </w:r>
      <w:r>
        <w:rPr>
          <w:rFonts w:ascii="Tw Cen MT" w:hAnsi="Tw Cen MT"/>
          <w:color w:val="auto"/>
        </w:rPr>
        <w:t>me</w:t>
      </w:r>
      <w:r>
        <w:rPr>
          <w:rFonts w:ascii="Tw Cen MT" w:hAnsi="Tw Cen MT"/>
          <w:color w:val="auto"/>
        </w:rPr>
        <w:t xml:space="preserve">s respectueuses salutations. </w:t>
      </w: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p>
    <w:p>
      <w:pPr>
        <w:pStyle w:val="Default"/>
        <w:jc w:val="both"/>
        <w:rPr>
          <w:rFonts w:ascii="Tw Cen MT" w:hAnsi="Tw Cen MT"/>
          <w:color w:val="auto"/>
          <w:sz w:val="24"/>
          <w:szCs w:val="24"/>
          <w:lang w:bidi="ar_SA" w:eastAsia="en_US" w:val="fr_FR"/>
        </w:rPr>
      </w:pPr>
      <w:r>
        <w:rPr>
          <w:rFonts w:ascii="Tw Cen MT" w:hAnsi="Tw Cen MT"/>
          <w:color w:val="auto"/>
        </w:rPr>
        <w:t xml:space="preserve">Paris, le </w:t>
      </w:r>
      <w:r>
        <w:rPr>
          <w:rFonts w:ascii="Tw Cen MT" w:hAnsi="Tw Cen MT"/>
          <w:color w:val="auto"/>
          <w:highlight w:val="yellow"/>
        </w:rPr>
        <w:t>XXX</w:t>
      </w:r>
      <w:r>
        <w:rPr>
          <w:rFonts w:ascii="Tw Cen MT" w:hAnsi="Tw Cen MT"/>
          <w:color w:val="auto"/>
        </w:rPr>
        <w:t xml:space="preserve"> mars 2019 </w:t>
      </w: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p>
    <w:p>
      <w:pPr>
        <w:jc w:val="both"/>
        <w:rPr>
          <w:rFonts w:ascii="Tw Cen MT" w:hAnsi="Tw Cen MT"/>
          <w:sz w:val="24"/>
          <w:szCs w:val="24"/>
          <w:lang w:bidi="ar_SA" w:eastAsia="en_US" w:val="fr_FR"/>
        </w:rPr>
      </w:pPr>
      <w:r>
        <w:rPr>
          <w:rFonts w:ascii="Tw Cen MT" w:hAnsi="Tw Cen MT"/>
          <w:sz w:val="24"/>
          <w:szCs w:val="24"/>
          <w:highlight w:val="yellow"/>
        </w:rPr>
        <w:t>Les parents de l’école/ collège XX</w:t>
      </w:r>
      <w:r>
        <w:rPr>
          <w:rFonts w:ascii="Tw Cen MT" w:hAnsi="Tw Cen MT"/>
          <w:sz w:val="24"/>
          <w:szCs w:val="24"/>
        </w:rPr>
        <w:t xml:space="preserve">/ </w:t>
      </w:r>
      <w:r>
        <w:rPr>
          <w:rFonts w:ascii="Tw Cen MT" w:hAnsi="Tw Cen MT"/>
          <w:sz w:val="24"/>
          <w:szCs w:val="24"/>
          <w:highlight w:val="yellow"/>
        </w:rPr>
        <w:t>conseil local FCPE</w:t>
      </w:r>
    </w:p>
    <w:p>
      <w:pPr>
        <w:jc w:val="both"/>
        <w:rPr>
          <w:rFonts w:ascii="Calibri" w:hAnsi="Calibri"/>
          <w:sz w:val="22"/>
          <w:szCs w:val="22"/>
          <w:lang w:bidi="ar_SA" w:eastAsia="en_US" w:val="fr_FR"/>
        </w:rPr>
      </w:pPr>
      <w:bookmarkStart w:id="0" w:name="_GoBack"/>
      <w:bookmarkEnd w:id="0"/>
    </w:p>
    <w:p>
      <w:pPr>
        <w:spacing w:after="160" w:line="259" w:lineRule="auto"/>
        <w:jc w:val="both"/>
        <w:rPr>
          <w:rFonts w:ascii="Tw Cen MT" w:hAnsi="Tw Cen MT"/>
          <w:i w:val="1"/>
          <w:sz w:val="24"/>
          <w:szCs w:val="24"/>
          <w:lang w:bidi="ar_SA" w:eastAsia="en_US" w:val="fr_FR"/>
        </w:rPr>
      </w:pPr>
    </w:p>
    <w:p>
      <w:pPr>
        <w:spacing w:after="160" w:line="259" w:lineRule="auto"/>
        <w:jc w:val="both"/>
        <w:rPr>
          <w:rFonts w:ascii="Tw Cen MT" w:hAnsi="Tw Cen MT"/>
          <w:i w:val="1"/>
          <w:sz w:val="24"/>
          <w:szCs w:val="24"/>
          <w:lang w:bidi="ar_SA" w:eastAsia="en_US" w:val="fr_FR"/>
        </w:rPr>
      </w:pPr>
    </w:p>
    <w:sectPr>
      <w:pgSz w:h="16838" w:w="11906"/>
      <w:pgMar w:bottom="1417" w:footer="708" w:gutter="0" w:header="708" w:left="1417" w:right="1417" w:top="70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E7FC57D0"/>
    <w:numStyleLink w:val=""/>
    <w:lvl w:ilvl="0">
      <w:start w:val="1"/>
      <w:numFmt w:val="bullet"/>
      <w:lvlText w:val="è"/>
      <w:lvlJc w:val="left"/>
      <w:pPr>
        <w:ind w:hanging="360" w:left="1428"/>
      </w:pPr>
      <w:rPr>
        <w:rFonts w:ascii="Wingdings" w:hAnsi="Wingdings"/>
        <w:color w:val="ED7D31"/>
      </w:rPr>
    </w:lvl>
    <w:lvl w:ilvl="1">
      <w:start w:val="1"/>
      <w:numFmt w:val="bullet"/>
      <w:lvlText w:val="o"/>
      <w:lvlJc w:val="left"/>
      <w:pPr>
        <w:ind w:hanging="360" w:left="2148"/>
      </w:pPr>
      <w:rPr>
        <w:rFonts w:ascii="Courier New" w:hAnsi="Courier New"/>
      </w:rPr>
    </w:lvl>
    <w:lvl w:ilvl="2">
      <w:start w:val="1"/>
      <w:numFmt w:val="bullet"/>
      <w:lvlText w:val=""/>
      <w:lvlJc w:val="left"/>
      <w:pPr>
        <w:ind w:hanging="360" w:left="2868"/>
      </w:pPr>
      <w:rPr>
        <w:rFonts w:ascii="Wingdings" w:hAnsi="Wingdings"/>
      </w:rPr>
    </w:lvl>
    <w:lvl w:ilvl="3">
      <w:start w:val="1"/>
      <w:numFmt w:val="bullet"/>
      <w:lvlText w:val=""/>
      <w:lvlJc w:val="left"/>
      <w:pPr>
        <w:ind w:hanging="360" w:left="3588"/>
      </w:pPr>
      <w:rPr>
        <w:rFonts w:ascii="Symbol" w:hAnsi="Symbol"/>
      </w:rPr>
    </w:lvl>
    <w:lvl w:ilvl="4">
      <w:start w:val="1"/>
      <w:numFmt w:val="bullet"/>
      <w:lvlText w:val="o"/>
      <w:lvlJc w:val="left"/>
      <w:pPr>
        <w:ind w:hanging="360" w:left="4308"/>
      </w:pPr>
      <w:rPr>
        <w:rFonts w:ascii="Courier New" w:hAnsi="Courier New"/>
      </w:rPr>
    </w:lvl>
    <w:lvl w:ilvl="5">
      <w:start w:val="1"/>
      <w:numFmt w:val="bullet"/>
      <w:lvlText w:val=""/>
      <w:lvlJc w:val="left"/>
      <w:pPr>
        <w:ind w:hanging="360" w:left="5028"/>
      </w:pPr>
      <w:rPr>
        <w:rFonts w:ascii="Wingdings" w:hAnsi="Wingdings"/>
      </w:rPr>
    </w:lvl>
    <w:lvl w:ilvl="6">
      <w:start w:val="1"/>
      <w:numFmt w:val="bullet"/>
      <w:lvlText w:val=""/>
      <w:lvlJc w:val="left"/>
      <w:pPr>
        <w:ind w:hanging="360" w:left="5748"/>
      </w:pPr>
      <w:rPr>
        <w:rFonts w:ascii="Symbol" w:hAnsi="Symbol"/>
      </w:rPr>
    </w:lvl>
    <w:lvl w:ilvl="7">
      <w:start w:val="1"/>
      <w:numFmt w:val="bullet"/>
      <w:lvlText w:val="o"/>
      <w:lvlJc w:val="left"/>
      <w:pPr>
        <w:ind w:hanging="360" w:left="6468"/>
      </w:pPr>
      <w:rPr>
        <w:rFonts w:ascii="Courier New" w:hAnsi="Courier New"/>
      </w:rPr>
    </w:lvl>
    <w:lvl w:ilvl="8">
      <w:start w:val="1"/>
      <w:numFmt w:val="bullet"/>
      <w:lvlText w:val=""/>
      <w:lvlJc w:val="left"/>
      <w:pPr>
        <w:ind w:hanging="360" w:left="7188"/>
      </w:pPr>
      <w:rPr>
        <w:rFonts w:ascii="Wingdings" w:hAnsi="Wingdings"/>
      </w:rPr>
    </w:lvl>
  </w:abstractNum>
  <w:abstractNum w:abstractNumId="1">
    <w:multiLevelType w:val="hybridMultilevel"/>
    <w:tmpl w:val="114875AA"/>
    <w:numStyleLink w:val=""/>
    <w:lvl w:ilvl="0">
      <w:start w:val="0"/>
      <w:numFmt w:val="bullet"/>
      <w:lvlText w:val="-"/>
      <w:lvlJc w:val="left"/>
      <w:pPr>
        <w:ind w:hanging="360" w:left="720"/>
      </w:pPr>
      <w:rPr>
        <w:rFonts w:ascii="Tw Cen MT" w:hAnsi="Tw Cen MT"/>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BA7E1CE4"/>
    <w:numStyleLink w:val=""/>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num w:numId="1">
    <w:abstractNumId w:val="2"/>
  </w:num>
  <w:num w:numId="2">
    <w:abstractNumId w:val="0"/>
  </w:num>
  <w:num w:numId="3">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A"/>
    <w:rsid w:val="00305801"/>
    <w:rsid w:val="00401360"/>
    <w:rsid w:val="00704587"/>
    <w:rsid w:val="0079258B"/>
    <w:rsid w:val="00C01BD6"/>
    <w:rsid w:val="00ED2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6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296A"/>
    <w:pPr>
      <w:autoSpaceDE w:val="0"/>
      <w:autoSpaceDN w:val="0"/>
      <w:adjustRightInd w:val="0"/>
      <w:spacing w:after="0" w:line="240" w:lineRule="auto"/>
    </w:pPr>
    <w:rPr>
      <w:rFonts w:ascii="Arial" w:eastAsia="Calibri" w:hAnsi="Arial" w:cs="Arial"/>
      <w:color w:val="000000"/>
      <w:sz w:val="24"/>
      <w:szCs w:val="24"/>
      <w:lang w:eastAsia="fr-FR"/>
    </w:rPr>
  </w:style>
  <w:style w:type="paragraph" w:styleId="Textedebulles">
    <w:name w:val="Balloon Text"/>
    <w:basedOn w:val="Normal"/>
    <w:link w:val="TextedebullesCar"/>
    <w:uiPriority w:val="99"/>
    <w:semiHidden/>
    <w:unhideWhenUsed/>
    <w:rsid w:val="00ED29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96A"/>
    <w:rPr>
      <w:rFonts w:ascii="Segoe UI" w:eastAsia="Calibri" w:hAnsi="Segoe UI" w:cs="Segoe UI"/>
      <w:sz w:val="18"/>
      <w:szCs w:val="18"/>
    </w:rPr>
  </w:style>
  <w:style w:type="table" w:styleId="Grilledutableau">
    <w:name w:val="Table Grid"/>
    <w:basedOn w:val="TableauNormal"/>
    <w:uiPriority w:val="39"/>
    <w:rsid w:val="00C0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1BD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media/image155346177271571611IUbkNlH8Hn.png" Type="http://schemas.openxmlformats.org/officeDocument/2006/relationships/image"></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6</Pages>
  <Words>1531</Words>
  <Characters>8319</Characters>
  <Lines>70</Lines>
  <Paragraphs>19</Paragraphs>
  <TotalTime>29</TotalTime>
  <ScaleCrop>0</ScaleCrop>
  <HeadingPairs>
    <vt:vector size="2" baseType="variant">
      <vt:variant>
        <vt:lpstr>Titre</vt:lpstr>
      </vt:variant>
      <vt:variant>
        <vt:i4>1</vt:i4>
      </vt:variant>
    </vt:vector>
  </HeadingPairs>
  <TitlesOfParts>
    <vt:vector size="1" baseType="lpstr">
      <vt:lpstr/>
    </vt:vector>
  </TitlesOfParts>
  <LinksUpToDate>0</LinksUpToDate>
  <CharactersWithSpaces>9792</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LARUE</dc:creator>
  <cp:keywords/>
  <dc:description/>
  <cp:lastModifiedBy>MURIEL LARUE</cp:lastModifiedBy>
  <cp:revision>4</cp:revision>
  <dcterms:created xsi:type="dcterms:W3CDTF">2019-03-21T21:53:00Z</dcterms:created>
  <dcterms:modified xsi:type="dcterms:W3CDTF">2019-03-21T22:23:00Z</dcterms:modified>
</cp:coreProperties>
</file>